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A46B" w14:textId="66F4CA41" w:rsidR="00187A49" w:rsidRDefault="001C5F6F" w:rsidP="001C5F6F">
      <w:pPr>
        <w:jc w:val="center"/>
        <w:rPr>
          <w:i/>
          <w:iCs/>
          <w:sz w:val="44"/>
          <w:szCs w:val="44"/>
          <w:u w:val="single"/>
        </w:rPr>
      </w:pPr>
      <w:r>
        <w:rPr>
          <w:noProof/>
          <w:lang w:eastAsia="en-GB"/>
        </w:rPr>
        <w:drawing>
          <wp:anchor distT="0" distB="0" distL="114300" distR="114300" simplePos="0" relativeHeight="251659264" behindDoc="0" locked="0" layoutInCell="1" allowOverlap="1" wp14:anchorId="266B8678" wp14:editId="4C940E48">
            <wp:simplePos x="0" y="0"/>
            <wp:positionH relativeFrom="margin">
              <wp:align>right</wp:align>
            </wp:positionH>
            <wp:positionV relativeFrom="paragraph">
              <wp:posOffset>7620</wp:posOffset>
            </wp:positionV>
            <wp:extent cx="661670" cy="669290"/>
            <wp:effectExtent l="0" t="0" r="5080" b="0"/>
            <wp:wrapSquare wrapText="bothSides"/>
            <wp:docPr id="1" name="Picture 1" descr="Image result for Frampton Cotterell Primary School Logo. Size: 102 x 104. Source: tayz.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mpton Cotterell Primary School Logo. Size: 102 x 104. Source: tayz.co.u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1670" cy="669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5F6F">
        <w:rPr>
          <w:i/>
          <w:iCs/>
          <w:sz w:val="44"/>
          <w:szCs w:val="44"/>
          <w:u w:val="single"/>
        </w:rPr>
        <w:t>SEND – The Frampton Way</w:t>
      </w:r>
    </w:p>
    <w:p w14:paraId="133C9B5E" w14:textId="1A9EEB0D" w:rsidR="001C5F6F" w:rsidRPr="000422CA" w:rsidRDefault="001C5F6F" w:rsidP="001C5F6F">
      <w:pPr>
        <w:tabs>
          <w:tab w:val="left" w:pos="6288"/>
        </w:tabs>
        <w:jc w:val="center"/>
        <w:rPr>
          <w:sz w:val="32"/>
          <w:szCs w:val="32"/>
        </w:rPr>
      </w:pPr>
      <w:r w:rsidRPr="000422CA">
        <w:rPr>
          <w:sz w:val="32"/>
          <w:szCs w:val="32"/>
        </w:rPr>
        <w:t>All children are entitled to Quality First Teaching and have access to our Whole School Provision. We recognise that children with SEND may benefit from adaptive teaching strategies in different curriculum areas (see curriculum subject areas) as well as for different areas of SEND.</w:t>
      </w:r>
      <w:r w:rsidR="000422CA" w:rsidRPr="000422CA">
        <w:rPr>
          <w:sz w:val="32"/>
          <w:szCs w:val="32"/>
        </w:rPr>
        <w:t xml:space="preserve"> Children who are not on our SEND register have access to these strategies and are documented on our class Adaptive Teaching Registers. We also have targeted provision and interventions for children on our SEND register.</w:t>
      </w:r>
      <w:r w:rsidRPr="000422CA">
        <w:rPr>
          <w:sz w:val="32"/>
          <w:szCs w:val="32"/>
        </w:rPr>
        <w:t xml:space="preserve"> The adaptive strategies we offer at Frampton include:</w:t>
      </w:r>
    </w:p>
    <w:tbl>
      <w:tblPr>
        <w:tblStyle w:val="TableGrid"/>
        <w:tblW w:w="0" w:type="auto"/>
        <w:tblLook w:val="04A0" w:firstRow="1" w:lastRow="0" w:firstColumn="1" w:lastColumn="0" w:noHBand="0" w:noVBand="1"/>
      </w:tblPr>
      <w:tblGrid>
        <w:gridCol w:w="2178"/>
        <w:gridCol w:w="3939"/>
        <w:gridCol w:w="4339"/>
      </w:tblGrid>
      <w:tr w:rsidR="001C5F6F" w14:paraId="50BBA987" w14:textId="77777777" w:rsidTr="001C5F6F">
        <w:tc>
          <w:tcPr>
            <w:tcW w:w="2122" w:type="dxa"/>
          </w:tcPr>
          <w:p w14:paraId="2A41C538" w14:textId="2EDC20C7" w:rsidR="001C5F6F" w:rsidRDefault="001C5F6F" w:rsidP="001C5F6F">
            <w:pPr>
              <w:tabs>
                <w:tab w:val="left" w:pos="6288"/>
              </w:tabs>
              <w:jc w:val="center"/>
              <w:rPr>
                <w:sz w:val="36"/>
                <w:szCs w:val="36"/>
              </w:rPr>
            </w:pPr>
            <w:r>
              <w:rPr>
                <w:sz w:val="36"/>
                <w:szCs w:val="36"/>
              </w:rPr>
              <w:t>SEN</w:t>
            </w:r>
          </w:p>
        </w:tc>
        <w:tc>
          <w:tcPr>
            <w:tcW w:w="3969" w:type="dxa"/>
          </w:tcPr>
          <w:p w14:paraId="3837B6AF" w14:textId="1D448791" w:rsidR="001C5F6F" w:rsidRDefault="001C5F6F" w:rsidP="001C5F6F">
            <w:pPr>
              <w:tabs>
                <w:tab w:val="left" w:pos="6288"/>
              </w:tabs>
              <w:jc w:val="center"/>
              <w:rPr>
                <w:sz w:val="36"/>
                <w:szCs w:val="36"/>
              </w:rPr>
            </w:pPr>
            <w:r>
              <w:rPr>
                <w:sz w:val="36"/>
                <w:szCs w:val="36"/>
              </w:rPr>
              <w:t>Whole School Provision</w:t>
            </w:r>
          </w:p>
        </w:tc>
        <w:tc>
          <w:tcPr>
            <w:tcW w:w="4365" w:type="dxa"/>
          </w:tcPr>
          <w:p w14:paraId="4C681A09" w14:textId="5E4505DF" w:rsidR="001C5F6F" w:rsidRDefault="001C5F6F" w:rsidP="001C5F6F">
            <w:pPr>
              <w:tabs>
                <w:tab w:val="left" w:pos="6288"/>
              </w:tabs>
              <w:jc w:val="center"/>
              <w:rPr>
                <w:sz w:val="36"/>
                <w:szCs w:val="36"/>
              </w:rPr>
            </w:pPr>
            <w:r w:rsidRPr="001C5F6F">
              <w:rPr>
                <w:sz w:val="32"/>
                <w:szCs w:val="32"/>
              </w:rPr>
              <w:t>Adaptive Teaching Strategies</w:t>
            </w:r>
          </w:p>
        </w:tc>
      </w:tr>
      <w:tr w:rsidR="001C5F6F" w14:paraId="61860154" w14:textId="77777777" w:rsidTr="001C5F6F">
        <w:tc>
          <w:tcPr>
            <w:tcW w:w="2122" w:type="dxa"/>
          </w:tcPr>
          <w:p w14:paraId="4A638D37" w14:textId="31D6221C" w:rsidR="001C5F6F" w:rsidRPr="001C5F6F" w:rsidRDefault="001C5F6F" w:rsidP="001C5F6F">
            <w:pPr>
              <w:tabs>
                <w:tab w:val="left" w:pos="6288"/>
              </w:tabs>
              <w:jc w:val="center"/>
              <w:rPr>
                <w:sz w:val="28"/>
                <w:szCs w:val="28"/>
              </w:rPr>
            </w:pPr>
            <w:r>
              <w:rPr>
                <w:sz w:val="28"/>
                <w:szCs w:val="28"/>
              </w:rPr>
              <w:t>Cognition and Learning</w:t>
            </w:r>
          </w:p>
        </w:tc>
        <w:tc>
          <w:tcPr>
            <w:tcW w:w="3969" w:type="dxa"/>
          </w:tcPr>
          <w:p w14:paraId="2EC1A824" w14:textId="77777777" w:rsidR="00226556" w:rsidRDefault="00226556" w:rsidP="001C5F6F">
            <w:pPr>
              <w:tabs>
                <w:tab w:val="left" w:pos="6288"/>
              </w:tabs>
            </w:pPr>
            <w:r w:rsidRPr="00226556">
              <w:t xml:space="preserve">Adapted exercise books </w:t>
            </w:r>
          </w:p>
          <w:p w14:paraId="513C4A69" w14:textId="57B494E1" w:rsidR="00226556" w:rsidRDefault="00226556" w:rsidP="001C5F6F">
            <w:pPr>
              <w:tabs>
                <w:tab w:val="left" w:pos="6288"/>
              </w:tabs>
            </w:pPr>
            <w:r w:rsidRPr="00226556">
              <w:t xml:space="preserve">Alternative colour writing pages to reduce visual stress </w:t>
            </w:r>
          </w:p>
          <w:p w14:paraId="34DE6262" w14:textId="77777777" w:rsidR="00226556" w:rsidRDefault="00226556" w:rsidP="001C5F6F">
            <w:pPr>
              <w:tabs>
                <w:tab w:val="left" w:pos="6288"/>
              </w:tabs>
            </w:pPr>
            <w:r w:rsidRPr="00226556">
              <w:t xml:space="preserve">Word Banks </w:t>
            </w:r>
          </w:p>
          <w:p w14:paraId="5680F938" w14:textId="77777777" w:rsidR="00226556" w:rsidRDefault="00226556" w:rsidP="001C5F6F">
            <w:pPr>
              <w:tabs>
                <w:tab w:val="left" w:pos="6288"/>
              </w:tabs>
            </w:pPr>
            <w:r w:rsidRPr="00226556">
              <w:t xml:space="preserve">Scaffolds </w:t>
            </w:r>
          </w:p>
          <w:p w14:paraId="01A23DC8" w14:textId="77777777" w:rsidR="00226556" w:rsidRDefault="00226556" w:rsidP="001C5F6F">
            <w:pPr>
              <w:tabs>
                <w:tab w:val="left" w:pos="6288"/>
              </w:tabs>
            </w:pPr>
            <w:r w:rsidRPr="00226556">
              <w:t xml:space="preserve">Focus group work with the Class teacher/TA </w:t>
            </w:r>
          </w:p>
          <w:p w14:paraId="62AA7DD5" w14:textId="77777777" w:rsidR="00226556" w:rsidRDefault="00226556" w:rsidP="001C5F6F">
            <w:pPr>
              <w:tabs>
                <w:tab w:val="left" w:pos="6288"/>
              </w:tabs>
            </w:pPr>
            <w:r w:rsidRPr="00226556">
              <w:t>Focus Group intervention with the Class teacher/TA e.g. assembly time</w:t>
            </w:r>
          </w:p>
          <w:p w14:paraId="68D6165D" w14:textId="77777777" w:rsidR="00226556" w:rsidRDefault="00226556" w:rsidP="001C5F6F">
            <w:pPr>
              <w:tabs>
                <w:tab w:val="left" w:pos="6288"/>
              </w:tabs>
            </w:pPr>
            <w:r w:rsidRPr="00226556">
              <w:t xml:space="preserve">Alternative recording methods – laptop, talking tins </w:t>
            </w:r>
          </w:p>
          <w:p w14:paraId="7359CBEF" w14:textId="77777777" w:rsidR="001C5F6F" w:rsidRDefault="00226556" w:rsidP="001C5F6F">
            <w:pPr>
              <w:tabs>
                <w:tab w:val="left" w:pos="6288"/>
              </w:tabs>
            </w:pPr>
            <w:r w:rsidRPr="00226556">
              <w:t>Access arrangements for tests Pre/post teaching</w:t>
            </w:r>
          </w:p>
          <w:p w14:paraId="6428E785" w14:textId="77777777" w:rsidR="00267B76" w:rsidRDefault="00267B76" w:rsidP="001C5F6F">
            <w:pPr>
              <w:tabs>
                <w:tab w:val="left" w:pos="6288"/>
              </w:tabs>
            </w:pPr>
            <w:r>
              <w:t>Range of questioning strategies</w:t>
            </w:r>
          </w:p>
          <w:p w14:paraId="2E9B3A31" w14:textId="77777777" w:rsidR="00267B76" w:rsidRDefault="00267B76" w:rsidP="001C5F6F">
            <w:pPr>
              <w:tabs>
                <w:tab w:val="left" w:pos="6288"/>
              </w:tabs>
            </w:pPr>
            <w:r>
              <w:t>Reading overlays</w:t>
            </w:r>
          </w:p>
          <w:p w14:paraId="682D4368" w14:textId="44FF26A0" w:rsidR="00267B76" w:rsidRPr="000422CA" w:rsidRDefault="00267B76" w:rsidP="001C5F6F">
            <w:pPr>
              <w:tabs>
                <w:tab w:val="left" w:pos="6288"/>
              </w:tabs>
            </w:pPr>
            <w:r>
              <w:t xml:space="preserve">I do, </w:t>
            </w:r>
            <w:proofErr w:type="gramStart"/>
            <w:r>
              <w:t>We</w:t>
            </w:r>
            <w:proofErr w:type="gramEnd"/>
            <w:r>
              <w:t xml:space="preserve"> do, </w:t>
            </w:r>
            <w:proofErr w:type="gramStart"/>
            <w:r>
              <w:t>You</w:t>
            </w:r>
            <w:proofErr w:type="gramEnd"/>
            <w:r>
              <w:t xml:space="preserve"> do model</w:t>
            </w:r>
          </w:p>
        </w:tc>
        <w:tc>
          <w:tcPr>
            <w:tcW w:w="4365" w:type="dxa"/>
          </w:tcPr>
          <w:p w14:paraId="19622804" w14:textId="77777777" w:rsidR="001C5F6F" w:rsidRPr="000422CA" w:rsidRDefault="001C5F6F" w:rsidP="001C5F6F">
            <w:pPr>
              <w:tabs>
                <w:tab w:val="left" w:pos="6288"/>
              </w:tabs>
            </w:pPr>
            <w:r w:rsidRPr="000422CA">
              <w:t>Pre-teaching of subject specific vocabulary.</w:t>
            </w:r>
          </w:p>
          <w:p w14:paraId="17578344" w14:textId="77777777" w:rsidR="001C5F6F" w:rsidRPr="000422CA" w:rsidRDefault="001C5F6F" w:rsidP="001C5F6F">
            <w:pPr>
              <w:tabs>
                <w:tab w:val="left" w:pos="6288"/>
              </w:tabs>
            </w:pPr>
            <w:r w:rsidRPr="000422CA">
              <w:t>Writing frames</w:t>
            </w:r>
          </w:p>
          <w:p w14:paraId="009D8B06" w14:textId="77777777" w:rsidR="001C5F6F" w:rsidRPr="000422CA" w:rsidRDefault="001C5F6F" w:rsidP="001C5F6F">
            <w:pPr>
              <w:tabs>
                <w:tab w:val="left" w:pos="6288"/>
              </w:tabs>
            </w:pPr>
            <w:r w:rsidRPr="000422CA">
              <w:t>Planning frames</w:t>
            </w:r>
          </w:p>
          <w:p w14:paraId="61FBBB9A" w14:textId="77777777" w:rsidR="001C5F6F" w:rsidRPr="000422CA" w:rsidRDefault="001C5F6F" w:rsidP="001C5F6F">
            <w:pPr>
              <w:tabs>
                <w:tab w:val="left" w:pos="6288"/>
              </w:tabs>
            </w:pPr>
            <w:r w:rsidRPr="000422CA">
              <w:t>Picture prompts</w:t>
            </w:r>
          </w:p>
          <w:p w14:paraId="39933520" w14:textId="77777777" w:rsidR="000422CA" w:rsidRPr="000422CA" w:rsidRDefault="000422CA" w:rsidP="001C5F6F">
            <w:pPr>
              <w:tabs>
                <w:tab w:val="left" w:pos="6288"/>
              </w:tabs>
            </w:pPr>
            <w:r w:rsidRPr="000422CA">
              <w:t>Spelling prompts</w:t>
            </w:r>
          </w:p>
          <w:p w14:paraId="0716D370" w14:textId="77777777" w:rsidR="000422CA" w:rsidRDefault="000422CA" w:rsidP="001C5F6F">
            <w:pPr>
              <w:tabs>
                <w:tab w:val="left" w:pos="6288"/>
              </w:tabs>
            </w:pPr>
            <w:r w:rsidRPr="000422CA">
              <w:t>Sentence stems</w:t>
            </w:r>
          </w:p>
          <w:p w14:paraId="1DEFD9CE" w14:textId="77777777" w:rsidR="009C21F5" w:rsidRDefault="009C21F5" w:rsidP="009C21F5">
            <w:pPr>
              <w:tabs>
                <w:tab w:val="left" w:pos="6288"/>
              </w:tabs>
            </w:pPr>
            <w:r>
              <w:t>Phonics intervention</w:t>
            </w:r>
          </w:p>
          <w:p w14:paraId="26A22124" w14:textId="77777777" w:rsidR="009C21F5" w:rsidRDefault="009C21F5" w:rsidP="009C21F5">
            <w:pPr>
              <w:tabs>
                <w:tab w:val="left" w:pos="6288"/>
              </w:tabs>
            </w:pPr>
            <w:r>
              <w:t>Foundation skills Maths</w:t>
            </w:r>
          </w:p>
          <w:p w14:paraId="1A8FE924" w14:textId="34DE2F1B" w:rsidR="009C21F5" w:rsidRDefault="009C21F5" w:rsidP="009C21F5">
            <w:pPr>
              <w:tabs>
                <w:tab w:val="left" w:pos="6288"/>
              </w:tabs>
            </w:pPr>
            <w:r>
              <w:t>Reading comprehension</w:t>
            </w:r>
          </w:p>
          <w:p w14:paraId="2D7C2D14" w14:textId="77777777" w:rsidR="000422CA" w:rsidRDefault="000422CA" w:rsidP="001C5F6F">
            <w:pPr>
              <w:tabs>
                <w:tab w:val="left" w:pos="6288"/>
              </w:tabs>
            </w:pPr>
          </w:p>
          <w:p w14:paraId="3CC42378" w14:textId="77777777" w:rsidR="000422CA" w:rsidRDefault="000422CA" w:rsidP="001C5F6F">
            <w:pPr>
              <w:tabs>
                <w:tab w:val="left" w:pos="6288"/>
              </w:tabs>
              <w:rPr>
                <w:color w:val="0070C0"/>
              </w:rPr>
            </w:pPr>
            <w:r w:rsidRPr="000422CA">
              <w:rPr>
                <w:color w:val="0070C0"/>
              </w:rPr>
              <w:t>Targeted Provision</w:t>
            </w:r>
          </w:p>
          <w:p w14:paraId="59EB1BF8" w14:textId="15837181" w:rsidR="00226556" w:rsidRDefault="00226556" w:rsidP="001C5F6F">
            <w:pPr>
              <w:tabs>
                <w:tab w:val="left" w:pos="6288"/>
              </w:tabs>
              <w:rPr>
                <w:color w:val="0070C0"/>
              </w:rPr>
            </w:pPr>
            <w:r>
              <w:t>Enhance</w:t>
            </w:r>
            <w:r w:rsidR="009C21F5">
              <w:t>d</w:t>
            </w:r>
            <w:r>
              <w:t xml:space="preserve"> Provision – The Nest</w:t>
            </w:r>
          </w:p>
          <w:p w14:paraId="0DC10830" w14:textId="77777777" w:rsidR="000422CA" w:rsidRDefault="000422CA" w:rsidP="001C5F6F">
            <w:pPr>
              <w:tabs>
                <w:tab w:val="left" w:pos="6288"/>
              </w:tabs>
            </w:pPr>
            <w:r>
              <w:t>Memory intervention</w:t>
            </w:r>
          </w:p>
          <w:p w14:paraId="4C435E6B" w14:textId="77777777" w:rsidR="000422CA" w:rsidRDefault="000422CA" w:rsidP="001C5F6F">
            <w:pPr>
              <w:tabs>
                <w:tab w:val="left" w:pos="6288"/>
              </w:tabs>
            </w:pPr>
            <w:r>
              <w:t>Maths for Life</w:t>
            </w:r>
          </w:p>
          <w:p w14:paraId="2B7FD11D" w14:textId="5D992E1F" w:rsidR="00267B76" w:rsidRPr="000422CA" w:rsidRDefault="00267B76" w:rsidP="001C5F6F">
            <w:pPr>
              <w:tabs>
                <w:tab w:val="left" w:pos="6288"/>
              </w:tabs>
            </w:pPr>
            <w:r>
              <w:t>Personalised/bespoke timetables and curriculum</w:t>
            </w:r>
          </w:p>
        </w:tc>
      </w:tr>
      <w:tr w:rsidR="001C5F6F" w14:paraId="6F82312E" w14:textId="77777777" w:rsidTr="001C5F6F">
        <w:tc>
          <w:tcPr>
            <w:tcW w:w="2122" w:type="dxa"/>
          </w:tcPr>
          <w:p w14:paraId="6CEDCB67" w14:textId="7E791A93" w:rsidR="001C5F6F" w:rsidRPr="001C5F6F" w:rsidRDefault="001C5F6F" w:rsidP="001C5F6F">
            <w:pPr>
              <w:tabs>
                <w:tab w:val="left" w:pos="6288"/>
              </w:tabs>
              <w:jc w:val="center"/>
              <w:rPr>
                <w:sz w:val="28"/>
                <w:szCs w:val="28"/>
              </w:rPr>
            </w:pPr>
            <w:r w:rsidRPr="001C5F6F">
              <w:rPr>
                <w:sz w:val="28"/>
                <w:szCs w:val="28"/>
              </w:rPr>
              <w:t>Communication and Interaction</w:t>
            </w:r>
          </w:p>
        </w:tc>
        <w:tc>
          <w:tcPr>
            <w:tcW w:w="3969" w:type="dxa"/>
          </w:tcPr>
          <w:p w14:paraId="5BE9F6CF" w14:textId="6CEF9439" w:rsidR="001C5F6F" w:rsidRDefault="00226556" w:rsidP="001C5F6F">
            <w:pPr>
              <w:tabs>
                <w:tab w:val="left" w:pos="6288"/>
              </w:tabs>
            </w:pPr>
            <w:r>
              <w:t>Visual Timetables</w:t>
            </w:r>
          </w:p>
          <w:p w14:paraId="3F61B964" w14:textId="77777777" w:rsidR="00226556" w:rsidRDefault="00226556" w:rsidP="001C5F6F">
            <w:pPr>
              <w:tabs>
                <w:tab w:val="left" w:pos="6288"/>
              </w:tabs>
            </w:pPr>
            <w:r>
              <w:t>Now and Next boards</w:t>
            </w:r>
          </w:p>
          <w:p w14:paraId="2257A965" w14:textId="328B563D" w:rsidR="00267B76" w:rsidRDefault="00267B76" w:rsidP="001C5F6F">
            <w:pPr>
              <w:tabs>
                <w:tab w:val="left" w:pos="6288"/>
              </w:tabs>
            </w:pPr>
            <w:r>
              <w:t>Social stories</w:t>
            </w:r>
          </w:p>
          <w:p w14:paraId="5DCFE386" w14:textId="6D971126" w:rsidR="00267B76" w:rsidRDefault="00267B76" w:rsidP="001C5F6F">
            <w:pPr>
              <w:tabs>
                <w:tab w:val="left" w:pos="6288"/>
              </w:tabs>
            </w:pPr>
            <w:r>
              <w:t>Reframing instructions</w:t>
            </w:r>
          </w:p>
          <w:p w14:paraId="7875EC98" w14:textId="77777777" w:rsidR="00267B76" w:rsidRDefault="00267B76" w:rsidP="001C5F6F">
            <w:pPr>
              <w:tabs>
                <w:tab w:val="left" w:pos="6288"/>
              </w:tabs>
            </w:pPr>
          </w:p>
          <w:p w14:paraId="79A13117" w14:textId="13C76D52" w:rsidR="00226556" w:rsidRPr="000422CA" w:rsidRDefault="00226556" w:rsidP="001C5F6F">
            <w:pPr>
              <w:tabs>
                <w:tab w:val="left" w:pos="6288"/>
              </w:tabs>
            </w:pPr>
          </w:p>
        </w:tc>
        <w:tc>
          <w:tcPr>
            <w:tcW w:w="4365" w:type="dxa"/>
          </w:tcPr>
          <w:p w14:paraId="404B0716" w14:textId="75620D35" w:rsidR="000422CA" w:rsidRDefault="00226556" w:rsidP="001C5F6F">
            <w:pPr>
              <w:tabs>
                <w:tab w:val="left" w:pos="6288"/>
              </w:tabs>
            </w:pPr>
            <w:r w:rsidRPr="00226556">
              <w:t>Time to respond to questions (processing time)</w:t>
            </w:r>
          </w:p>
          <w:p w14:paraId="4E2C1B37" w14:textId="04F24E9C" w:rsidR="00226556" w:rsidRDefault="00226556" w:rsidP="001C5F6F">
            <w:pPr>
              <w:tabs>
                <w:tab w:val="left" w:pos="6288"/>
              </w:tabs>
            </w:pPr>
            <w:r>
              <w:t>Question prompts</w:t>
            </w:r>
          </w:p>
          <w:p w14:paraId="6389AFBF" w14:textId="37BCF8BF" w:rsidR="00226556" w:rsidRDefault="00226556" w:rsidP="001C5F6F">
            <w:pPr>
              <w:tabs>
                <w:tab w:val="left" w:pos="6288"/>
              </w:tabs>
            </w:pPr>
            <w:r>
              <w:t>Chunking of information and instructions</w:t>
            </w:r>
          </w:p>
          <w:p w14:paraId="7093043B" w14:textId="2A828546" w:rsidR="00226556" w:rsidRPr="00226556" w:rsidRDefault="00226556" w:rsidP="001C5F6F">
            <w:pPr>
              <w:tabs>
                <w:tab w:val="left" w:pos="6288"/>
              </w:tabs>
            </w:pPr>
            <w:r>
              <w:t>Providing choice</w:t>
            </w:r>
          </w:p>
          <w:p w14:paraId="0B855091" w14:textId="77777777" w:rsidR="009C21F5" w:rsidRDefault="009C21F5" w:rsidP="009C21F5">
            <w:pPr>
              <w:tabs>
                <w:tab w:val="left" w:pos="6288"/>
              </w:tabs>
            </w:pPr>
            <w:r>
              <w:t>Colourful Semantics</w:t>
            </w:r>
          </w:p>
          <w:p w14:paraId="147077C9" w14:textId="77777777" w:rsidR="009C21F5" w:rsidRDefault="009C21F5" w:rsidP="009C21F5">
            <w:pPr>
              <w:tabs>
                <w:tab w:val="left" w:pos="6288"/>
              </w:tabs>
            </w:pPr>
            <w:r w:rsidRPr="00226556">
              <w:t>Friendship Formula</w:t>
            </w:r>
          </w:p>
          <w:p w14:paraId="0B05845C" w14:textId="03B52DC4" w:rsidR="009C21F5" w:rsidRPr="00226556" w:rsidRDefault="009C21F5" w:rsidP="009C21F5">
            <w:pPr>
              <w:tabs>
                <w:tab w:val="left" w:pos="6288"/>
              </w:tabs>
            </w:pPr>
            <w:r>
              <w:t>Language for Thinking</w:t>
            </w:r>
          </w:p>
          <w:p w14:paraId="2E32BA8E" w14:textId="77777777" w:rsidR="009C21F5" w:rsidRDefault="009C21F5" w:rsidP="001C5F6F">
            <w:pPr>
              <w:tabs>
                <w:tab w:val="left" w:pos="6288"/>
              </w:tabs>
              <w:rPr>
                <w:color w:val="0070C0"/>
              </w:rPr>
            </w:pPr>
          </w:p>
          <w:p w14:paraId="67C2196F" w14:textId="7F27A004" w:rsidR="001C5F6F" w:rsidRDefault="000422CA" w:rsidP="001C5F6F">
            <w:pPr>
              <w:tabs>
                <w:tab w:val="left" w:pos="6288"/>
              </w:tabs>
              <w:rPr>
                <w:color w:val="0070C0"/>
              </w:rPr>
            </w:pPr>
            <w:r>
              <w:rPr>
                <w:color w:val="0070C0"/>
              </w:rPr>
              <w:t>Targeted Provision</w:t>
            </w:r>
          </w:p>
          <w:p w14:paraId="6B0D9FDE" w14:textId="4AC1EE28" w:rsidR="00226556" w:rsidRDefault="00226556" w:rsidP="001C5F6F">
            <w:pPr>
              <w:tabs>
                <w:tab w:val="left" w:pos="6288"/>
              </w:tabs>
              <w:rPr>
                <w:color w:val="0070C0"/>
              </w:rPr>
            </w:pPr>
            <w:r>
              <w:t>Enhance</w:t>
            </w:r>
            <w:r w:rsidR="009C21F5">
              <w:t>d</w:t>
            </w:r>
            <w:r>
              <w:t xml:space="preserve"> Provision – The Nest</w:t>
            </w:r>
          </w:p>
          <w:p w14:paraId="24A579E1" w14:textId="77777777" w:rsidR="000422CA" w:rsidRDefault="000422CA" w:rsidP="001C5F6F">
            <w:pPr>
              <w:tabs>
                <w:tab w:val="left" w:pos="6288"/>
              </w:tabs>
            </w:pPr>
            <w:r w:rsidRPr="000422CA">
              <w:t>Speech and Language Therapy</w:t>
            </w:r>
          </w:p>
          <w:p w14:paraId="47508128" w14:textId="77777777" w:rsidR="00226556" w:rsidRDefault="00226556" w:rsidP="001C5F6F">
            <w:pPr>
              <w:tabs>
                <w:tab w:val="left" w:pos="6288"/>
              </w:tabs>
            </w:pPr>
            <w:r w:rsidRPr="00226556">
              <w:t>Time to Talk</w:t>
            </w:r>
          </w:p>
          <w:p w14:paraId="2BF37CE5" w14:textId="4EF3DD97" w:rsidR="00226556" w:rsidRPr="00226556" w:rsidRDefault="00226556" w:rsidP="001C5F6F">
            <w:pPr>
              <w:tabs>
                <w:tab w:val="left" w:pos="6288"/>
              </w:tabs>
            </w:pPr>
            <w:r>
              <w:t>Autism Bucket</w:t>
            </w:r>
          </w:p>
          <w:p w14:paraId="37E5372B" w14:textId="53474273" w:rsidR="00226556" w:rsidRPr="00226556" w:rsidRDefault="00226556" w:rsidP="001C5F6F">
            <w:pPr>
              <w:tabs>
                <w:tab w:val="left" w:pos="6288"/>
              </w:tabs>
            </w:pPr>
            <w:r w:rsidRPr="00226556">
              <w:t>Lego Therapy</w:t>
            </w:r>
          </w:p>
        </w:tc>
      </w:tr>
      <w:tr w:rsidR="001C5F6F" w14:paraId="2FEA15E4" w14:textId="77777777" w:rsidTr="001C5F6F">
        <w:tc>
          <w:tcPr>
            <w:tcW w:w="2122" w:type="dxa"/>
          </w:tcPr>
          <w:p w14:paraId="70A59344" w14:textId="1E87C6B3" w:rsidR="001C5F6F" w:rsidRPr="001C5F6F" w:rsidRDefault="001C5F6F" w:rsidP="001C5F6F">
            <w:pPr>
              <w:tabs>
                <w:tab w:val="left" w:pos="6288"/>
              </w:tabs>
              <w:jc w:val="center"/>
              <w:rPr>
                <w:sz w:val="28"/>
                <w:szCs w:val="28"/>
              </w:rPr>
            </w:pPr>
            <w:r w:rsidRPr="001C5F6F">
              <w:rPr>
                <w:sz w:val="28"/>
                <w:szCs w:val="28"/>
              </w:rPr>
              <w:lastRenderedPageBreak/>
              <w:t>Social, Emotional and Mental Health</w:t>
            </w:r>
          </w:p>
        </w:tc>
        <w:tc>
          <w:tcPr>
            <w:tcW w:w="3969" w:type="dxa"/>
          </w:tcPr>
          <w:p w14:paraId="479E01F7" w14:textId="5E2246DB" w:rsidR="00226556" w:rsidRDefault="00226556" w:rsidP="001C5F6F">
            <w:pPr>
              <w:tabs>
                <w:tab w:val="left" w:pos="6288"/>
              </w:tabs>
            </w:pPr>
            <w:r>
              <w:t>ELSA</w:t>
            </w:r>
          </w:p>
          <w:p w14:paraId="3FA567DE" w14:textId="02746D9E" w:rsidR="001C5F6F" w:rsidRDefault="00226556" w:rsidP="001C5F6F">
            <w:pPr>
              <w:tabs>
                <w:tab w:val="left" w:pos="6288"/>
              </w:tabs>
            </w:pPr>
            <w:r>
              <w:t xml:space="preserve">Relational approach </w:t>
            </w:r>
          </w:p>
          <w:p w14:paraId="3D28C2BA" w14:textId="77777777" w:rsidR="00226556" w:rsidRDefault="00226556" w:rsidP="001C5F6F">
            <w:pPr>
              <w:tabs>
                <w:tab w:val="left" w:pos="6288"/>
              </w:tabs>
            </w:pPr>
            <w:r>
              <w:t>Meet and Greet</w:t>
            </w:r>
          </w:p>
          <w:p w14:paraId="48D441D1" w14:textId="77777777" w:rsidR="00226556" w:rsidRDefault="00226556" w:rsidP="001C5F6F">
            <w:pPr>
              <w:tabs>
                <w:tab w:val="left" w:pos="6288"/>
              </w:tabs>
            </w:pPr>
            <w:r>
              <w:t>Workstations</w:t>
            </w:r>
          </w:p>
          <w:p w14:paraId="08EFF93B" w14:textId="77777777" w:rsidR="00226556" w:rsidRDefault="00226556" w:rsidP="001C5F6F">
            <w:pPr>
              <w:tabs>
                <w:tab w:val="left" w:pos="6288"/>
              </w:tabs>
            </w:pPr>
            <w:r>
              <w:t>Movement breaks</w:t>
            </w:r>
          </w:p>
          <w:p w14:paraId="3649DD16" w14:textId="6F3C875B" w:rsidR="00226556" w:rsidRDefault="00226556" w:rsidP="001C5F6F">
            <w:pPr>
              <w:tabs>
                <w:tab w:val="left" w:pos="6288"/>
              </w:tabs>
            </w:pPr>
            <w:r>
              <w:t>20:20:20 lunch breaks</w:t>
            </w:r>
          </w:p>
          <w:p w14:paraId="545EE153" w14:textId="6B3EACA9" w:rsidR="00267B76" w:rsidRDefault="00267B76" w:rsidP="001C5F6F">
            <w:pPr>
              <w:tabs>
                <w:tab w:val="left" w:pos="6288"/>
              </w:tabs>
            </w:pPr>
            <w:r>
              <w:t>Lunch time colouring club</w:t>
            </w:r>
          </w:p>
          <w:p w14:paraId="274F5047" w14:textId="7EEC40C7" w:rsidR="00226556" w:rsidRDefault="00226556" w:rsidP="001C5F6F">
            <w:pPr>
              <w:tabs>
                <w:tab w:val="left" w:pos="6288"/>
              </w:tabs>
            </w:pPr>
            <w:r>
              <w:t xml:space="preserve">Zones of Regulation and Fergus the </w:t>
            </w:r>
            <w:r w:rsidR="00267B76">
              <w:t>Mixed-up</w:t>
            </w:r>
            <w:r>
              <w:t xml:space="preserve"> Frog (EYFS and KS1)</w:t>
            </w:r>
          </w:p>
          <w:p w14:paraId="41DE07B5" w14:textId="05F0637D" w:rsidR="00267B76" w:rsidRDefault="00267B76" w:rsidP="001C5F6F">
            <w:pPr>
              <w:tabs>
                <w:tab w:val="left" w:pos="6288"/>
              </w:tabs>
            </w:pPr>
            <w:r>
              <w:t>Jigsaw</w:t>
            </w:r>
          </w:p>
          <w:p w14:paraId="6B77D6A1" w14:textId="01030CF2" w:rsidR="00267B76" w:rsidRDefault="00267B76" w:rsidP="001C5F6F">
            <w:pPr>
              <w:tabs>
                <w:tab w:val="left" w:pos="6288"/>
              </w:tabs>
            </w:pPr>
            <w:r>
              <w:t xml:space="preserve">Social stories for special scenarios </w:t>
            </w:r>
          </w:p>
          <w:p w14:paraId="3FCA3543" w14:textId="2BC8F0D9" w:rsidR="00267B76" w:rsidRDefault="00267B76" w:rsidP="001C5F6F">
            <w:pPr>
              <w:tabs>
                <w:tab w:val="left" w:pos="6288"/>
              </w:tabs>
            </w:pPr>
            <w:r>
              <w:t>Positive framing</w:t>
            </w:r>
          </w:p>
          <w:p w14:paraId="6F2ABBFF" w14:textId="47FEAA4A" w:rsidR="00267B76" w:rsidRDefault="00267B76" w:rsidP="001C5F6F">
            <w:pPr>
              <w:tabs>
                <w:tab w:val="left" w:pos="6288"/>
              </w:tabs>
            </w:pPr>
            <w:r>
              <w:t>Pastoral/mentor support</w:t>
            </w:r>
          </w:p>
          <w:p w14:paraId="5F1BA9F5" w14:textId="5B7CF7F3" w:rsidR="00267B76" w:rsidRDefault="00267B76" w:rsidP="001C5F6F">
            <w:pPr>
              <w:tabs>
                <w:tab w:val="left" w:pos="6288"/>
              </w:tabs>
            </w:pPr>
            <w:r>
              <w:t>Sports mentor support</w:t>
            </w:r>
          </w:p>
          <w:p w14:paraId="1B0F84BA" w14:textId="18C3E9A9" w:rsidR="00226556" w:rsidRPr="000422CA" w:rsidRDefault="00226556" w:rsidP="001C5F6F">
            <w:pPr>
              <w:tabs>
                <w:tab w:val="left" w:pos="6288"/>
              </w:tabs>
            </w:pPr>
          </w:p>
        </w:tc>
        <w:tc>
          <w:tcPr>
            <w:tcW w:w="4365" w:type="dxa"/>
          </w:tcPr>
          <w:p w14:paraId="3C39AD8C" w14:textId="77777777" w:rsidR="001C5F6F" w:rsidRDefault="00226556" w:rsidP="001C5F6F">
            <w:pPr>
              <w:tabs>
                <w:tab w:val="left" w:pos="6288"/>
              </w:tabs>
            </w:pPr>
            <w:r>
              <w:t>Adjusted start and finish times</w:t>
            </w:r>
          </w:p>
          <w:p w14:paraId="2FEEEC63" w14:textId="6FE8DF5B" w:rsidR="00267B76" w:rsidRDefault="00267B76" w:rsidP="001C5F6F">
            <w:pPr>
              <w:tabs>
                <w:tab w:val="left" w:pos="6288"/>
              </w:tabs>
            </w:pPr>
            <w:r>
              <w:t>Morning (before bell) club to support transition into school.</w:t>
            </w:r>
          </w:p>
          <w:p w14:paraId="6CF6FD2E" w14:textId="77777777" w:rsidR="00226556" w:rsidRDefault="00226556" w:rsidP="001C5F6F">
            <w:pPr>
              <w:tabs>
                <w:tab w:val="left" w:pos="6288"/>
              </w:tabs>
            </w:pPr>
          </w:p>
          <w:p w14:paraId="5A5BBCFA" w14:textId="77777777" w:rsidR="00226556" w:rsidRDefault="00226556" w:rsidP="00226556">
            <w:pPr>
              <w:tabs>
                <w:tab w:val="left" w:pos="6288"/>
              </w:tabs>
              <w:rPr>
                <w:color w:val="0070C0"/>
              </w:rPr>
            </w:pPr>
            <w:r>
              <w:rPr>
                <w:color w:val="0070C0"/>
              </w:rPr>
              <w:t>Targeted Provision</w:t>
            </w:r>
          </w:p>
          <w:p w14:paraId="3D639223" w14:textId="39B01AD5" w:rsidR="00226556" w:rsidRPr="00226556" w:rsidRDefault="00226556" w:rsidP="001C5F6F">
            <w:pPr>
              <w:tabs>
                <w:tab w:val="left" w:pos="6288"/>
              </w:tabs>
            </w:pPr>
            <w:r>
              <w:t>Enhance</w:t>
            </w:r>
            <w:r w:rsidR="009C21F5">
              <w:t>d</w:t>
            </w:r>
            <w:r>
              <w:t xml:space="preserve"> Provision – The Nest</w:t>
            </w:r>
          </w:p>
        </w:tc>
      </w:tr>
      <w:tr w:rsidR="001C5F6F" w14:paraId="7AF37944" w14:textId="77777777" w:rsidTr="001C5F6F">
        <w:tc>
          <w:tcPr>
            <w:tcW w:w="2122" w:type="dxa"/>
          </w:tcPr>
          <w:p w14:paraId="4256A91D" w14:textId="38DB84C7" w:rsidR="001C5F6F" w:rsidRPr="001C5F6F" w:rsidRDefault="001C5F6F" w:rsidP="001C5F6F">
            <w:pPr>
              <w:tabs>
                <w:tab w:val="left" w:pos="6288"/>
              </w:tabs>
              <w:jc w:val="center"/>
              <w:rPr>
                <w:sz w:val="28"/>
                <w:szCs w:val="28"/>
              </w:rPr>
            </w:pPr>
            <w:r w:rsidRPr="001C5F6F">
              <w:rPr>
                <w:sz w:val="28"/>
                <w:szCs w:val="28"/>
              </w:rPr>
              <w:t>Sensory and /or Physical</w:t>
            </w:r>
          </w:p>
        </w:tc>
        <w:tc>
          <w:tcPr>
            <w:tcW w:w="3969" w:type="dxa"/>
          </w:tcPr>
          <w:p w14:paraId="68D69470" w14:textId="77777777" w:rsidR="000422CA" w:rsidRDefault="000422CA" w:rsidP="001C5F6F">
            <w:pPr>
              <w:tabs>
                <w:tab w:val="left" w:pos="6288"/>
              </w:tabs>
            </w:pPr>
            <w:r w:rsidRPr="000422CA">
              <w:t>Fidget toys</w:t>
            </w:r>
          </w:p>
          <w:p w14:paraId="122DD910" w14:textId="77777777" w:rsidR="000422CA" w:rsidRDefault="000422CA" w:rsidP="001C5F6F">
            <w:pPr>
              <w:tabs>
                <w:tab w:val="left" w:pos="6288"/>
              </w:tabs>
            </w:pPr>
            <w:r>
              <w:t>Movement and sensory</w:t>
            </w:r>
            <w:r w:rsidRPr="000422CA">
              <w:t xml:space="preserve"> breaks Pencil grips</w:t>
            </w:r>
          </w:p>
          <w:p w14:paraId="72FC17C7" w14:textId="77777777" w:rsidR="001C5F6F" w:rsidRDefault="000422CA" w:rsidP="001C5F6F">
            <w:pPr>
              <w:tabs>
                <w:tab w:val="left" w:pos="6288"/>
              </w:tabs>
            </w:pPr>
            <w:r w:rsidRPr="000422CA">
              <w:t>Accessible toilet</w:t>
            </w:r>
            <w:r>
              <w:t>s</w:t>
            </w:r>
          </w:p>
          <w:p w14:paraId="06613058" w14:textId="77777777" w:rsidR="00267B76" w:rsidRDefault="00267B76" w:rsidP="001C5F6F">
            <w:pPr>
              <w:tabs>
                <w:tab w:val="left" w:pos="6288"/>
              </w:tabs>
            </w:pPr>
            <w:r>
              <w:t>Ear defenders</w:t>
            </w:r>
          </w:p>
          <w:p w14:paraId="11A29CD9" w14:textId="6C5EC1B0" w:rsidR="009C21F5" w:rsidRPr="000422CA" w:rsidRDefault="009C21F5" w:rsidP="001C5F6F">
            <w:pPr>
              <w:tabs>
                <w:tab w:val="left" w:pos="6288"/>
              </w:tabs>
            </w:pPr>
            <w:r>
              <w:t>Calm/quiet space in the classroom</w:t>
            </w:r>
          </w:p>
        </w:tc>
        <w:tc>
          <w:tcPr>
            <w:tcW w:w="4365" w:type="dxa"/>
          </w:tcPr>
          <w:p w14:paraId="110BDBB1" w14:textId="0EF7DA9D" w:rsidR="000422CA" w:rsidRDefault="000422CA" w:rsidP="001C5F6F">
            <w:pPr>
              <w:tabs>
                <w:tab w:val="left" w:pos="6288"/>
              </w:tabs>
            </w:pPr>
            <w:r>
              <w:t>Enlarged resources</w:t>
            </w:r>
          </w:p>
          <w:p w14:paraId="2C5DF228" w14:textId="77777777" w:rsidR="000422CA" w:rsidRDefault="000422CA" w:rsidP="001C5F6F">
            <w:pPr>
              <w:tabs>
                <w:tab w:val="left" w:pos="6288"/>
              </w:tabs>
            </w:pPr>
            <w:r>
              <w:t xml:space="preserve">Specific seating </w:t>
            </w:r>
          </w:p>
          <w:p w14:paraId="1BC02AD3" w14:textId="77777777" w:rsidR="000422CA" w:rsidRDefault="000422CA" w:rsidP="001C5F6F">
            <w:pPr>
              <w:tabs>
                <w:tab w:val="left" w:pos="6288"/>
              </w:tabs>
            </w:pPr>
            <w:r>
              <w:t>Seating aids, such as wobble cushions</w:t>
            </w:r>
          </w:p>
          <w:p w14:paraId="53A570BB" w14:textId="52CC3DEB" w:rsidR="000422CA" w:rsidRDefault="000422CA" w:rsidP="001C5F6F">
            <w:pPr>
              <w:tabs>
                <w:tab w:val="left" w:pos="6288"/>
              </w:tabs>
            </w:pPr>
            <w:r>
              <w:t>Writing slopes</w:t>
            </w:r>
          </w:p>
          <w:p w14:paraId="68C646C6" w14:textId="4B1D3A3F" w:rsidR="009C21F5" w:rsidRDefault="009C21F5" w:rsidP="001C5F6F">
            <w:pPr>
              <w:tabs>
                <w:tab w:val="left" w:pos="6288"/>
              </w:tabs>
            </w:pPr>
            <w:r>
              <w:t>Fundamentals intervention</w:t>
            </w:r>
          </w:p>
          <w:p w14:paraId="05C81DA9" w14:textId="77777777" w:rsidR="000422CA" w:rsidRDefault="000422CA" w:rsidP="001C5F6F">
            <w:pPr>
              <w:tabs>
                <w:tab w:val="left" w:pos="6288"/>
              </w:tabs>
              <w:rPr>
                <w:color w:val="0070C0"/>
              </w:rPr>
            </w:pPr>
          </w:p>
          <w:p w14:paraId="2D27B1FE" w14:textId="298F9EB4" w:rsidR="000422CA" w:rsidRDefault="000422CA" w:rsidP="001C5F6F">
            <w:pPr>
              <w:tabs>
                <w:tab w:val="left" w:pos="6288"/>
              </w:tabs>
              <w:rPr>
                <w:color w:val="0070C0"/>
              </w:rPr>
            </w:pPr>
            <w:r w:rsidRPr="000422CA">
              <w:rPr>
                <w:color w:val="0070C0"/>
              </w:rPr>
              <w:t>Targeted Provision</w:t>
            </w:r>
          </w:p>
          <w:p w14:paraId="0EBF5770" w14:textId="34023BCA" w:rsidR="00226556" w:rsidRDefault="00226556" w:rsidP="001C5F6F">
            <w:pPr>
              <w:tabs>
                <w:tab w:val="left" w:pos="6288"/>
              </w:tabs>
              <w:rPr>
                <w:color w:val="0070C0"/>
              </w:rPr>
            </w:pPr>
            <w:r>
              <w:t>Enhance</w:t>
            </w:r>
            <w:r w:rsidR="009C21F5">
              <w:t>d</w:t>
            </w:r>
            <w:r>
              <w:t xml:space="preserve"> Provision – The Nest</w:t>
            </w:r>
          </w:p>
          <w:p w14:paraId="6B78C7AD" w14:textId="14AAA173" w:rsidR="000422CA" w:rsidRPr="000422CA" w:rsidRDefault="000422CA" w:rsidP="001C5F6F">
            <w:pPr>
              <w:tabs>
                <w:tab w:val="left" w:pos="6288"/>
              </w:tabs>
            </w:pPr>
            <w:r w:rsidRPr="000422CA">
              <w:t>Write Dance</w:t>
            </w:r>
          </w:p>
          <w:p w14:paraId="3AA72FDE" w14:textId="085495B5" w:rsidR="000422CA" w:rsidRPr="000422CA" w:rsidRDefault="000422CA" w:rsidP="001C5F6F">
            <w:pPr>
              <w:tabs>
                <w:tab w:val="left" w:pos="6288"/>
              </w:tabs>
            </w:pPr>
            <w:r w:rsidRPr="000422CA">
              <w:t>Handwriting interventions</w:t>
            </w:r>
          </w:p>
          <w:p w14:paraId="0AF599D7" w14:textId="3B5FBC90" w:rsidR="000422CA" w:rsidRPr="000422CA" w:rsidRDefault="000422CA" w:rsidP="001C5F6F">
            <w:pPr>
              <w:tabs>
                <w:tab w:val="left" w:pos="6288"/>
              </w:tabs>
            </w:pPr>
            <w:r w:rsidRPr="000422CA">
              <w:t>Sensory circuits</w:t>
            </w:r>
          </w:p>
          <w:p w14:paraId="24606A83" w14:textId="78BDEA00" w:rsidR="000422CA" w:rsidRPr="000422CA" w:rsidRDefault="000422CA" w:rsidP="001C5F6F">
            <w:pPr>
              <w:tabs>
                <w:tab w:val="left" w:pos="6288"/>
              </w:tabs>
            </w:pPr>
            <w:r w:rsidRPr="000422CA">
              <w:t>Smart Moves</w:t>
            </w:r>
          </w:p>
          <w:p w14:paraId="2667E61C" w14:textId="62442C14" w:rsidR="000422CA" w:rsidRPr="000422CA" w:rsidRDefault="000422CA" w:rsidP="001C5F6F">
            <w:pPr>
              <w:tabs>
                <w:tab w:val="left" w:pos="6288"/>
              </w:tabs>
            </w:pPr>
          </w:p>
        </w:tc>
      </w:tr>
    </w:tbl>
    <w:p w14:paraId="3E6EB092" w14:textId="77777777" w:rsidR="00040F7A" w:rsidRDefault="00040F7A" w:rsidP="00040F7A">
      <w:pPr>
        <w:tabs>
          <w:tab w:val="left" w:pos="6288"/>
        </w:tabs>
      </w:pPr>
    </w:p>
    <w:p w14:paraId="5FE57B2C" w14:textId="22F8D0CB" w:rsidR="009C21F5" w:rsidRPr="00C745D6" w:rsidRDefault="009C21F5" w:rsidP="00040F7A">
      <w:pPr>
        <w:tabs>
          <w:tab w:val="left" w:pos="6288"/>
        </w:tabs>
        <w:jc w:val="center"/>
      </w:pPr>
      <w:r w:rsidRPr="00C745D6">
        <w:t>Children accessing Targeted Provision will likely have a support plan, which will have between 1 – 3 targets. Targets are set and reviewed 3 times a year in line with our SEND policy.  Children on the SEND register have access to Whole School Provision as well as adapted and targeted provision, which is recorded on our Adaptive Teaching Registers.</w:t>
      </w:r>
    </w:p>
    <w:p w14:paraId="78963D6E" w14:textId="6E871197" w:rsidR="009C21F5" w:rsidRPr="00C745D6" w:rsidRDefault="009C21F5" w:rsidP="00C745D6">
      <w:pPr>
        <w:tabs>
          <w:tab w:val="left" w:pos="6288"/>
        </w:tabs>
        <w:jc w:val="center"/>
      </w:pPr>
      <w:r w:rsidRPr="00C745D6">
        <w:t xml:space="preserve">In addition, Personal Emergency Evacuation Plans (PEEPS) are completed for children who need support to exit the building in an emergency. </w:t>
      </w:r>
    </w:p>
    <w:p w14:paraId="6F0DE693" w14:textId="5DC02E22" w:rsidR="009C21F5" w:rsidRPr="00C745D6" w:rsidRDefault="009C21F5" w:rsidP="001C5F6F">
      <w:pPr>
        <w:tabs>
          <w:tab w:val="left" w:pos="6288"/>
        </w:tabs>
        <w:jc w:val="center"/>
      </w:pPr>
      <w:r w:rsidRPr="00C745D6">
        <w:t>At Frampton Cotterell Primary School, we have good working relationships with external professionals who work in collaboration with us to implement the best possible provision for our children.</w:t>
      </w:r>
      <w:r w:rsidR="00C745D6">
        <w:t xml:space="preserve"> Their recommendations might include some of the mentioned adaptions as well as other bespoke alternatives, which will be documented in their reports and included as part of children’s support plans.</w:t>
      </w:r>
      <w:r w:rsidRPr="00C745D6">
        <w:t xml:space="preserve"> </w:t>
      </w:r>
      <w:r w:rsidR="00C745D6" w:rsidRPr="00C745D6">
        <w:t>Some of t</w:t>
      </w:r>
      <w:r w:rsidR="00C745D6">
        <w:t>he professionals</w:t>
      </w:r>
      <w:r w:rsidR="00C745D6" w:rsidRPr="00C745D6">
        <w:t xml:space="preserve"> include:</w:t>
      </w:r>
    </w:p>
    <w:tbl>
      <w:tblPr>
        <w:tblStyle w:val="TableGrid"/>
        <w:tblW w:w="0" w:type="auto"/>
        <w:tblInd w:w="1980" w:type="dxa"/>
        <w:tblLook w:val="04A0" w:firstRow="1" w:lastRow="0" w:firstColumn="1" w:lastColumn="0" w:noHBand="0" w:noVBand="1"/>
      </w:tblPr>
      <w:tblGrid>
        <w:gridCol w:w="6379"/>
      </w:tblGrid>
      <w:tr w:rsidR="00C745D6" w14:paraId="0085BCE7" w14:textId="77777777" w:rsidTr="00C745D6">
        <w:tc>
          <w:tcPr>
            <w:tcW w:w="6379" w:type="dxa"/>
          </w:tcPr>
          <w:p w14:paraId="33167B52" w14:textId="10EE4F6B" w:rsidR="00C745D6" w:rsidRDefault="00C745D6" w:rsidP="001C5F6F">
            <w:pPr>
              <w:tabs>
                <w:tab w:val="left" w:pos="6288"/>
              </w:tabs>
              <w:jc w:val="center"/>
              <w:rPr>
                <w:sz w:val="28"/>
                <w:szCs w:val="28"/>
              </w:rPr>
            </w:pPr>
            <w:r>
              <w:rPr>
                <w:sz w:val="28"/>
                <w:szCs w:val="28"/>
              </w:rPr>
              <w:t>Education Psychologists</w:t>
            </w:r>
          </w:p>
        </w:tc>
      </w:tr>
      <w:tr w:rsidR="00C745D6" w14:paraId="6AC2D5FE" w14:textId="77777777" w:rsidTr="00C745D6">
        <w:tc>
          <w:tcPr>
            <w:tcW w:w="6379" w:type="dxa"/>
          </w:tcPr>
          <w:p w14:paraId="25ACA1AB" w14:textId="5C7E414F" w:rsidR="00C745D6" w:rsidRDefault="00C745D6" w:rsidP="001C5F6F">
            <w:pPr>
              <w:tabs>
                <w:tab w:val="left" w:pos="6288"/>
              </w:tabs>
              <w:jc w:val="center"/>
              <w:rPr>
                <w:sz w:val="28"/>
                <w:szCs w:val="28"/>
              </w:rPr>
            </w:pPr>
            <w:r>
              <w:rPr>
                <w:sz w:val="28"/>
                <w:szCs w:val="28"/>
              </w:rPr>
              <w:t>Behaviour Support</w:t>
            </w:r>
          </w:p>
        </w:tc>
      </w:tr>
      <w:tr w:rsidR="00C745D6" w14:paraId="21794E3E" w14:textId="77777777" w:rsidTr="00C745D6">
        <w:tc>
          <w:tcPr>
            <w:tcW w:w="6379" w:type="dxa"/>
          </w:tcPr>
          <w:p w14:paraId="4F985171" w14:textId="6CC4D705" w:rsidR="00C745D6" w:rsidRDefault="00C745D6" w:rsidP="001C5F6F">
            <w:pPr>
              <w:tabs>
                <w:tab w:val="left" w:pos="6288"/>
              </w:tabs>
              <w:jc w:val="center"/>
              <w:rPr>
                <w:sz w:val="28"/>
                <w:szCs w:val="28"/>
              </w:rPr>
            </w:pPr>
            <w:r>
              <w:rPr>
                <w:sz w:val="28"/>
                <w:szCs w:val="28"/>
              </w:rPr>
              <w:t>Speech and Language therapists</w:t>
            </w:r>
          </w:p>
        </w:tc>
      </w:tr>
      <w:tr w:rsidR="00C745D6" w14:paraId="43499F5B" w14:textId="77777777" w:rsidTr="00C745D6">
        <w:tc>
          <w:tcPr>
            <w:tcW w:w="6379" w:type="dxa"/>
          </w:tcPr>
          <w:p w14:paraId="45BB7378" w14:textId="5EAB2308" w:rsidR="00C745D6" w:rsidRDefault="00C745D6" w:rsidP="001C5F6F">
            <w:pPr>
              <w:tabs>
                <w:tab w:val="left" w:pos="6288"/>
              </w:tabs>
              <w:jc w:val="center"/>
              <w:rPr>
                <w:sz w:val="28"/>
                <w:szCs w:val="28"/>
              </w:rPr>
            </w:pPr>
            <w:r>
              <w:rPr>
                <w:sz w:val="28"/>
                <w:szCs w:val="28"/>
              </w:rPr>
              <w:t>Occupational Therapist</w:t>
            </w:r>
          </w:p>
        </w:tc>
      </w:tr>
      <w:tr w:rsidR="00C745D6" w14:paraId="31A974C3" w14:textId="77777777" w:rsidTr="00C745D6">
        <w:tc>
          <w:tcPr>
            <w:tcW w:w="6379" w:type="dxa"/>
          </w:tcPr>
          <w:p w14:paraId="7A733AF3" w14:textId="59128FC6" w:rsidR="00C745D6" w:rsidRDefault="00C745D6" w:rsidP="001C5F6F">
            <w:pPr>
              <w:tabs>
                <w:tab w:val="left" w:pos="6288"/>
              </w:tabs>
              <w:jc w:val="center"/>
              <w:rPr>
                <w:sz w:val="28"/>
                <w:szCs w:val="28"/>
              </w:rPr>
            </w:pPr>
            <w:r>
              <w:rPr>
                <w:sz w:val="28"/>
                <w:szCs w:val="28"/>
              </w:rPr>
              <w:t>Primary Mental Health Team</w:t>
            </w:r>
          </w:p>
        </w:tc>
      </w:tr>
      <w:tr w:rsidR="00C745D6" w14:paraId="5D3E7DB5" w14:textId="77777777" w:rsidTr="00C745D6">
        <w:tc>
          <w:tcPr>
            <w:tcW w:w="6379" w:type="dxa"/>
          </w:tcPr>
          <w:p w14:paraId="4CF139AD" w14:textId="30FB9362" w:rsidR="00C745D6" w:rsidRDefault="00C745D6" w:rsidP="001C5F6F">
            <w:pPr>
              <w:tabs>
                <w:tab w:val="left" w:pos="6288"/>
              </w:tabs>
              <w:jc w:val="center"/>
              <w:rPr>
                <w:sz w:val="28"/>
                <w:szCs w:val="28"/>
              </w:rPr>
            </w:pPr>
            <w:r>
              <w:rPr>
                <w:sz w:val="28"/>
                <w:szCs w:val="28"/>
              </w:rPr>
              <w:t>School Nurse Team</w:t>
            </w:r>
          </w:p>
        </w:tc>
      </w:tr>
    </w:tbl>
    <w:p w14:paraId="01D218FA" w14:textId="77777777" w:rsidR="00C745D6" w:rsidRPr="009C21F5" w:rsidRDefault="00C745D6" w:rsidP="001C5F6F">
      <w:pPr>
        <w:tabs>
          <w:tab w:val="left" w:pos="6288"/>
        </w:tabs>
        <w:jc w:val="center"/>
        <w:rPr>
          <w:sz w:val="28"/>
          <w:szCs w:val="28"/>
        </w:rPr>
      </w:pPr>
    </w:p>
    <w:p w14:paraId="35973335" w14:textId="77777777" w:rsidR="001C5F6F" w:rsidRPr="001C5F6F" w:rsidRDefault="001C5F6F" w:rsidP="001C5F6F">
      <w:pPr>
        <w:tabs>
          <w:tab w:val="left" w:pos="6288"/>
        </w:tabs>
        <w:jc w:val="center"/>
        <w:rPr>
          <w:sz w:val="36"/>
          <w:szCs w:val="36"/>
        </w:rPr>
      </w:pPr>
    </w:p>
    <w:sectPr w:rsidR="001C5F6F" w:rsidRPr="001C5F6F" w:rsidSect="001C5F6F">
      <w:pgSz w:w="11906" w:h="16838"/>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6F"/>
    <w:rsid w:val="000076E2"/>
    <w:rsid w:val="00033332"/>
    <w:rsid w:val="00040F7A"/>
    <w:rsid w:val="000422CA"/>
    <w:rsid w:val="00187A49"/>
    <w:rsid w:val="001C5F6F"/>
    <w:rsid w:val="00226556"/>
    <w:rsid w:val="00267B76"/>
    <w:rsid w:val="00367078"/>
    <w:rsid w:val="007D4728"/>
    <w:rsid w:val="009460AA"/>
    <w:rsid w:val="00952E38"/>
    <w:rsid w:val="009C21F5"/>
    <w:rsid w:val="00A92472"/>
    <w:rsid w:val="00B27A4F"/>
    <w:rsid w:val="00C745D6"/>
    <w:rsid w:val="00FB0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A929"/>
  <w15:chartTrackingRefBased/>
  <w15:docId w15:val="{D926EC39-2974-4737-90F7-C2464874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F6F"/>
    <w:rPr>
      <w:rFonts w:eastAsiaTheme="majorEastAsia" w:cstheme="majorBidi"/>
      <w:color w:val="272727" w:themeColor="text1" w:themeTint="D8"/>
    </w:rPr>
  </w:style>
  <w:style w:type="paragraph" w:styleId="Title">
    <w:name w:val="Title"/>
    <w:basedOn w:val="Normal"/>
    <w:next w:val="Normal"/>
    <w:link w:val="TitleChar"/>
    <w:uiPriority w:val="10"/>
    <w:qFormat/>
    <w:rsid w:val="001C5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F6F"/>
    <w:pPr>
      <w:spacing w:before="160"/>
      <w:jc w:val="center"/>
    </w:pPr>
    <w:rPr>
      <w:i/>
      <w:iCs/>
      <w:color w:val="404040" w:themeColor="text1" w:themeTint="BF"/>
    </w:rPr>
  </w:style>
  <w:style w:type="character" w:customStyle="1" w:styleId="QuoteChar">
    <w:name w:val="Quote Char"/>
    <w:basedOn w:val="DefaultParagraphFont"/>
    <w:link w:val="Quote"/>
    <w:uiPriority w:val="29"/>
    <w:rsid w:val="001C5F6F"/>
    <w:rPr>
      <w:i/>
      <w:iCs/>
      <w:color w:val="404040" w:themeColor="text1" w:themeTint="BF"/>
    </w:rPr>
  </w:style>
  <w:style w:type="paragraph" w:styleId="ListParagraph">
    <w:name w:val="List Paragraph"/>
    <w:basedOn w:val="Normal"/>
    <w:uiPriority w:val="34"/>
    <w:qFormat/>
    <w:rsid w:val="001C5F6F"/>
    <w:pPr>
      <w:ind w:left="720"/>
      <w:contextualSpacing/>
    </w:pPr>
  </w:style>
  <w:style w:type="character" w:styleId="IntenseEmphasis">
    <w:name w:val="Intense Emphasis"/>
    <w:basedOn w:val="DefaultParagraphFont"/>
    <w:uiPriority w:val="21"/>
    <w:qFormat/>
    <w:rsid w:val="001C5F6F"/>
    <w:rPr>
      <w:i/>
      <w:iCs/>
      <w:color w:val="0F4761" w:themeColor="accent1" w:themeShade="BF"/>
    </w:rPr>
  </w:style>
  <w:style w:type="paragraph" w:styleId="IntenseQuote">
    <w:name w:val="Intense Quote"/>
    <w:basedOn w:val="Normal"/>
    <w:next w:val="Normal"/>
    <w:link w:val="IntenseQuoteChar"/>
    <w:uiPriority w:val="30"/>
    <w:qFormat/>
    <w:rsid w:val="001C5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F6F"/>
    <w:rPr>
      <w:i/>
      <w:iCs/>
      <w:color w:val="0F4761" w:themeColor="accent1" w:themeShade="BF"/>
    </w:rPr>
  </w:style>
  <w:style w:type="character" w:styleId="IntenseReference">
    <w:name w:val="Intense Reference"/>
    <w:basedOn w:val="DefaultParagraphFont"/>
    <w:uiPriority w:val="32"/>
    <w:qFormat/>
    <w:rsid w:val="001C5F6F"/>
    <w:rPr>
      <w:b/>
      <w:bCs/>
      <w:smallCaps/>
      <w:color w:val="0F4761" w:themeColor="accent1" w:themeShade="BF"/>
      <w:spacing w:val="5"/>
    </w:rPr>
  </w:style>
  <w:style w:type="table" w:styleId="TableGrid">
    <w:name w:val="Table Grid"/>
    <w:basedOn w:val="TableNormal"/>
    <w:uiPriority w:val="39"/>
    <w:rsid w:val="001C5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3E9D7-971E-4B4C-A492-EF4D3851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Barter</dc:creator>
  <cp:keywords/>
  <dc:description/>
  <cp:lastModifiedBy>Siobhan Barter</cp:lastModifiedBy>
  <cp:revision>3</cp:revision>
  <dcterms:created xsi:type="dcterms:W3CDTF">2026-01-14T16:35:00Z</dcterms:created>
  <dcterms:modified xsi:type="dcterms:W3CDTF">2026-01-19T10:34:00Z</dcterms:modified>
</cp:coreProperties>
</file>